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4E79"/>
          <w:sz w:val="40"/>
          <w:szCs w:val="40"/>
        </w:rPr>
        <w:t xml:space="preserve">Shared Device Onboarding &amp; Deployment via Intune</w:t>
      </w:r>
    </w:p>
    <w:p>
      <w:pPr>
        <w:pBdr>
          <w:bottom w:val="single" w:color="1F4E79" w:sz="6" w:space="4"/>
        </w:pBdr>
        <w:spacing w:after="240"/>
      </w:pPr>
      <w:r>
        <w:rPr>
          <w:color w:val="595959"/>
          <w:sz w:val="26"/>
          <w:szCs w:val="26"/>
        </w:rPr>
        <w:t xml:space="preserve">Service Offer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Field</w:t>
            </w:r>
          </w:p>
        </w:tc>
        <w:tc>
          <w:tcPr>
            <w:tcW w:type="dxa" w:w="6226"/>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Detail</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Service</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Shared Device Onboarding &amp; Deployment via Intune</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Service ID</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TBC</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Service classification</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TBC</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Version</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TBC</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Date prepared</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26 June 2026</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Status</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Draft</w:t>
            </w:r>
          </w:p>
        </w:tc>
      </w:tr>
    </w:tbl>
    <w:p>
      <w:r>
        <w:t xml:space="preserve"/>
      </w:r>
    </w:p>
    <w:p>
      <w:pPr>
        <w:pStyle w:val="Heading2"/>
      </w:pPr>
      <w:r>
        <w:t xml:space="preserve">Service Summary</w:t>
      </w:r>
    </w:p>
    <w:p>
      <w:r>
        <w:t xml:space="preserve">Shared Device Onboarding &amp; Deployment via Intune is a service offer providing zero-touch, scalable provisioning of shared Windows devices using Microsoft Intune. The service uses self-deploying Autopilot profiles, automated device grouping, shared device configuration, and automated licence activation and cleanup to deliver a secure, compliant and auditable deployment.</w:t>
      </w:r>
    </w:p>
    <w:p>
      <w:pPr>
        <w:pStyle w:val="Heading2"/>
      </w:pPr>
      <w:r>
        <w:t xml:space="preserve">Service Description</w:t>
      </w:r>
    </w:p>
    <w:p>
      <w:pPr>
        <w:pStyle w:val="Heading3"/>
      </w:pPr>
      <w:r>
        <w:t xml:space="preserve">Overview</w:t>
      </w:r>
    </w:p>
    <w:p>
      <w:r>
        <w:t xml:space="preserve">The service provisions shared devices automatically, without user sign-in, and removes any assigned primary user after the build completes. The capabilities of the service are:</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Capability</w:t>
            </w:r>
          </w:p>
        </w:tc>
        <w:tc>
          <w:tcPr>
            <w:tcW w:type="dxa" w:w="6226"/>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Description</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Zero-touch provisioning</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Self-deploying Autopilot deployment with no user sign-in required.</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Automated device grouping</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Devices are automatically grouped and targeted for the correct deployment and configuration.</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Shared device configuration</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Shared device mode, guest cleanup and timeouts are applied to the device.</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Licence activation</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The Office shared device licence is checked and activated automatically.</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Primary user cleanup</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Any assigned primary user is automatically removed after deployment.</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Audit logging</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Automated actions are logged for audit.</w:t>
            </w:r>
          </w:p>
        </w:tc>
      </w:tr>
    </w:tbl>
    <w:p>
      <w:pPr>
        <w:pStyle w:val="Heading3"/>
      </w:pPr>
      <w:r>
        <w:t xml:space="preserve">Scope</w:t>
      </w:r>
    </w:p>
    <w:p>
      <w:r>
        <w:t xml:space="preserve">The service applies to shared Windows devices enrolled through Microsoft Intune and Windows Autopilot. Supported Windows versions, eligible device models, in-scope sites and expected device volumes are to be confirmed (TBC).</w:t>
      </w:r>
    </w:p>
    <w:p>
      <w:pPr>
        <w:pStyle w:val="Heading3"/>
      </w:pPr>
      <w:r>
        <w:t xml:space="preserve">Service Approach</w:t>
      </w:r>
    </w:p>
    <w:p>
      <w:r>
        <w:t xml:space="preserve">Once a device is registered for the service, it provisions itself when it is turned on and connected to the internet. The device is built without user sign-in, configured as a shared device, has its Office shared device licence activated, and has any assigned primary user removed after the build completes. Automated actions are logged so that deployments can be audited.</w:t>
      </w:r>
    </w:p>
    <w:p>
      <w:pPr>
        <w:pStyle w:val="Heading3"/>
      </w:pPr>
      <w:r>
        <w:t xml:space="preserve">Onboarding and Offboarding</w:t>
      </w:r>
    </w:p>
    <w:p>
      <w:r>
        <w:t xml:space="preserve">A device is registered for the service, then provisions itself automatically when it is turned on and connected to the internet. The onboarding request process and lead times, and the device offboarding, retirement or wipe process, are to be confirmed (TBC).</w:t>
      </w:r>
    </w:p>
    <w:p>
      <w:pPr>
        <w:pStyle w:val="Heading3"/>
      </w:pPr>
      <w:r>
        <w:t xml:space="preserve">Benefits</w:t>
      </w:r>
    </w:p>
    <w:p>
      <w:pPr>
        <w:pStyle w:val="ListParagraph"/>
        <w:numPr>
          <w:ilvl w:val="0"/>
          <w:numId w:val="2"/>
        </w:numPr>
      </w:pPr>
      <w:r>
        <w:t xml:space="preserve">Fully automated shared device provisioning</w:t>
      </w:r>
    </w:p>
    <w:p>
      <w:pPr>
        <w:pStyle w:val="ListParagraph"/>
        <w:numPr>
          <w:ilvl w:val="0"/>
          <w:numId w:val="2"/>
        </w:numPr>
      </w:pPr>
      <w:r>
        <w:t xml:space="preserve">Minimal admin intervention</w:t>
      </w:r>
    </w:p>
    <w:p>
      <w:pPr>
        <w:pStyle w:val="ListParagraph"/>
        <w:numPr>
          <w:ilvl w:val="0"/>
          <w:numId w:val="2"/>
        </w:numPr>
      </w:pPr>
      <w:r>
        <w:t xml:space="preserve">Devices remain compliant and reusable</w:t>
      </w:r>
    </w:p>
    <w:p>
      <w:pPr>
        <w:pStyle w:val="ListParagraph"/>
        <w:numPr>
          <w:ilvl w:val="0"/>
          <w:numId w:val="2"/>
        </w:numPr>
      </w:pPr>
      <w:r>
        <w:t xml:space="preserve">Auditable record of automated actions</w:t>
      </w:r>
    </w:p>
    <w:p>
      <w:pPr>
        <w:pStyle w:val="Heading2"/>
      </w:pPr>
      <w:r>
        <w:t xml:space="preserve">Inclusions</w:t>
      </w:r>
    </w:p>
    <w:p>
      <w:r>
        <w:t xml:space="preserve">The tasks, items and actions (services) listed in this section detail the specific services comprising the Shared Device Onboarding &amp; Deployment via Intune service offer. Any services not listed below are excluded from the service offer.</w:t>
      </w:r>
    </w:p>
    <w:p>
      <w:r>
        <w:t xml:space="preserve">The specific services comprising this service offer are:</w:t>
      </w:r>
    </w:p>
    <w:p>
      <w:pPr>
        <w:pStyle w:val="ListParagraph"/>
        <w:numPr>
          <w:ilvl w:val="0"/>
          <w:numId w:val="2"/>
        </w:numPr>
      </w:pPr>
      <w:r>
        <w:t xml:space="preserve">Registration of devices for automated enrolment</w:t>
      </w:r>
    </w:p>
    <w:p>
      <w:pPr>
        <w:pStyle w:val="ListParagraph"/>
        <w:numPr>
          <w:ilvl w:val="0"/>
          <w:numId w:val="2"/>
        </w:numPr>
      </w:pPr>
      <w:r>
        <w:t xml:space="preserve">Automated grouping of devices so that the correct deployment and configuration are applied</w:t>
      </w:r>
    </w:p>
    <w:p>
      <w:pPr>
        <w:pStyle w:val="ListParagraph"/>
        <w:numPr>
          <w:ilvl w:val="0"/>
          <w:numId w:val="2"/>
        </w:numPr>
      </w:pPr>
      <w:r>
        <w:t xml:space="preserve">A self-deploying provisioning profile that builds the device with no user sign-in required</w:t>
      </w:r>
    </w:p>
    <w:p>
      <w:pPr>
        <w:pStyle w:val="ListParagraph"/>
        <w:numPr>
          <w:ilvl w:val="0"/>
          <w:numId w:val="2"/>
        </w:numPr>
      </w:pPr>
      <w:r>
        <w:t xml:space="preserve">A shared device configuration applying shared device mode, guest cleanup and timeouts</w:t>
      </w:r>
    </w:p>
    <w:p>
      <w:pPr>
        <w:pStyle w:val="ListParagraph"/>
        <w:numPr>
          <w:ilvl w:val="0"/>
          <w:numId w:val="2"/>
        </w:numPr>
      </w:pPr>
      <w:r>
        <w:t xml:space="preserve">Automated activation of the Office shared device licence</w:t>
      </w:r>
    </w:p>
    <w:p>
      <w:pPr>
        <w:pStyle w:val="ListParagraph"/>
        <w:numPr>
          <w:ilvl w:val="0"/>
          <w:numId w:val="2"/>
        </w:numPr>
      </w:pPr>
      <w:r>
        <w:t xml:space="preserve">Automated removal of any assigned primary user after the build completes</w:t>
      </w:r>
    </w:p>
    <w:p>
      <w:pPr>
        <w:pStyle w:val="ListParagraph"/>
        <w:numPr>
          <w:ilvl w:val="0"/>
          <w:numId w:val="2"/>
        </w:numPr>
      </w:pPr>
      <w:r>
        <w:t xml:space="preserve">Logging of automated actions for audit</w:t>
      </w:r>
    </w:p>
    <w:p>
      <w:pPr>
        <w:pStyle w:val="Heading2"/>
      </w:pPr>
      <w:r>
        <w:t xml:space="preserve">Exclusions</w:t>
      </w:r>
    </w:p>
    <w:p>
      <w:r>
        <w:t xml:space="preserve">Any services not listed in the Inclusions section are excluded from this service offer. The exclusions below are proposed and to be confirmed (TBC).</w:t>
      </w:r>
    </w:p>
    <w:p>
      <w:pPr>
        <w:pStyle w:val="ListParagraph"/>
        <w:numPr>
          <w:ilvl w:val="0"/>
          <w:numId w:val="2"/>
        </w:numPr>
      </w:pPr>
      <w:r>
        <w:t xml:space="preserve">Supply, procurement and physical maintenance of devices</w:t>
      </w:r>
    </w:p>
    <w:p>
      <w:pPr>
        <w:pStyle w:val="ListParagraph"/>
        <w:numPr>
          <w:ilvl w:val="0"/>
          <w:numId w:val="2"/>
        </w:numPr>
      </w:pPr>
      <w:r>
        <w:t xml:space="preserve">Provisioning of standard (non-shared) or user-assigned devices</w:t>
      </w:r>
    </w:p>
    <w:p>
      <w:pPr>
        <w:pStyle w:val="ListParagraph"/>
        <w:numPr>
          <w:ilvl w:val="0"/>
          <w:numId w:val="2"/>
        </w:numPr>
      </w:pPr>
      <w:r>
        <w:t xml:space="preserve">Provisioning of non-Windows devices</w:t>
      </w:r>
    </w:p>
    <w:p>
      <w:pPr>
        <w:pStyle w:val="ListParagraph"/>
        <w:numPr>
          <w:ilvl w:val="0"/>
          <w:numId w:val="2"/>
        </w:numPr>
      </w:pPr>
      <w:r>
        <w:t xml:space="preserve">Application packaging and deployment beyond the Office shared device licence activation</w:t>
      </w:r>
    </w:p>
    <w:p>
      <w:pPr>
        <w:pStyle w:val="ListParagraph"/>
        <w:numPr>
          <w:ilvl w:val="0"/>
          <w:numId w:val="2"/>
        </w:numPr>
      </w:pPr>
      <w:r>
        <w:t xml:space="preserve">Provision of network or internet connectivity at device locations</w:t>
      </w:r>
    </w:p>
    <w:p>
      <w:pPr>
        <w:pStyle w:val="ListParagraph"/>
        <w:numPr>
          <w:ilvl w:val="0"/>
          <w:numId w:val="2"/>
        </w:numPr>
      </w:pPr>
      <w:r>
        <w:t xml:space="preserve">End user support and training</w:t>
      </w:r>
    </w:p>
    <w:p>
      <w:pPr>
        <w:pStyle w:val="Heading2"/>
      </w:pPr>
      <w:r>
        <w:t xml:space="preserve">Service Options</w:t>
      </w:r>
    </w:p>
    <w:p>
      <w:pPr>
        <w:pStyle w:val="ListParagraph"/>
        <w:numPr>
          <w:ilvl w:val="0"/>
          <w:numId w:val="2"/>
        </w:numPr>
      </w:pPr>
      <w:r>
        <w:t xml:space="preserve">To be confirmed (TBC)</w:t>
      </w:r>
    </w:p>
    <w:p>
      <w:pPr>
        <w:pStyle w:val="Heading2"/>
      </w:pPr>
      <w:r>
        <w:t xml:space="preserve">Prerequisites and Dependencies</w:t>
      </w:r>
    </w:p>
    <w:p>
      <w:r>
        <w:t xml:space="preserve">The service depends on the following platform components and conditions. Ownership of each (provider or client) is to be confirmed (TBC):</w:t>
      </w:r>
    </w:p>
    <w:p>
      <w:pPr>
        <w:pStyle w:val="ListParagraph"/>
        <w:numPr>
          <w:ilvl w:val="0"/>
          <w:numId w:val="2"/>
        </w:numPr>
      </w:pPr>
      <w:r>
        <w:t xml:space="preserve">Microsoft Intune, for device enrolment and management</w:t>
      </w:r>
    </w:p>
    <w:p>
      <w:pPr>
        <w:pStyle w:val="ListParagraph"/>
        <w:numPr>
          <w:ilvl w:val="0"/>
          <w:numId w:val="2"/>
        </w:numPr>
      </w:pPr>
      <w:r>
        <w:t xml:space="preserve">Windows Autopilot, for self-deploying provisioning</w:t>
      </w:r>
    </w:p>
    <w:p>
      <w:pPr>
        <w:pStyle w:val="ListParagraph"/>
        <w:numPr>
          <w:ilvl w:val="0"/>
          <w:numId w:val="2"/>
        </w:numPr>
      </w:pPr>
      <w:r>
        <w:t xml:space="preserve">Microsoft Entra ID, for device identity</w:t>
      </w:r>
    </w:p>
    <w:p>
      <w:pPr>
        <w:pStyle w:val="ListParagraph"/>
        <w:numPr>
          <w:ilvl w:val="0"/>
          <w:numId w:val="2"/>
        </w:numPr>
      </w:pPr>
      <w:r>
        <w:t xml:space="preserve">Azure Automation, for the post-deployment cleanup process</w:t>
      </w:r>
    </w:p>
    <w:p>
      <w:pPr>
        <w:pStyle w:val="ListParagraph"/>
        <w:numPr>
          <w:ilvl w:val="0"/>
          <w:numId w:val="2"/>
        </w:numPr>
      </w:pPr>
      <w:r>
        <w:t xml:space="preserve">A Log Analytics workspace, for audit logging</w:t>
      </w:r>
    </w:p>
    <w:p>
      <w:pPr>
        <w:pStyle w:val="ListParagraph"/>
        <w:numPr>
          <w:ilvl w:val="0"/>
          <w:numId w:val="2"/>
        </w:numPr>
      </w:pPr>
      <w:r>
        <w:t xml:space="preserve">Office shared device licensing, for licence activation</w:t>
      </w:r>
    </w:p>
    <w:p>
      <w:pPr>
        <w:pStyle w:val="ListParagraph"/>
        <w:numPr>
          <w:ilvl w:val="0"/>
          <w:numId w:val="2"/>
        </w:numPr>
      </w:pPr>
      <w:r>
        <w:t xml:space="preserve">Internet connectivity at the device location, so that provisioning can begin</w:t>
      </w:r>
    </w:p>
    <w:p>
      <w:pPr>
        <w:pStyle w:val="ListParagraph"/>
        <w:numPr>
          <w:ilvl w:val="0"/>
          <w:numId w:val="2"/>
        </w:numPr>
      </w:pPr>
      <w:r>
        <w:t xml:space="preserve">Devices capable of Windows Autopilot enrolment</w:t>
      </w:r>
    </w:p>
    <w:p>
      <w:pPr>
        <w:pStyle w:val="Heading2"/>
      </w:pPr>
      <w:r>
        <w:t xml:space="preserve">Technology, Tools &amp; Approach Used</w:t>
      </w:r>
    </w:p>
    <w:p>
      <w:pPr>
        <w:pStyle w:val="Heading3"/>
      </w:pPr>
      <w:r>
        <w:t xml:space="preserve">Support Structure</w:t>
      </w:r>
    </w:p>
    <w:p>
      <w:r>
        <w:t xml:space="preserve">To be confirmed (TBC).</w:t>
      </w:r>
    </w:p>
    <w:p>
      <w:pPr>
        <w:pStyle w:val="Heading3"/>
      </w:pPr>
      <w:r>
        <w:t xml:space="preserve">Support Availability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Support type</w:t>
            </w:r>
          </w:p>
        </w:tc>
        <w:tc>
          <w:tcPr>
            <w:tcW w:type="dxa" w:w="6226"/>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Availability</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Standard support hours</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TBA</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After hours support</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TBA</w:t>
            </w:r>
          </w:p>
        </w:tc>
      </w:tr>
    </w:tbl>
    <w:p>
      <w:pPr>
        <w:pStyle w:val="Heading3"/>
      </w:pPr>
      <w:r>
        <w:t xml:space="preserve">Service Levels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Measure</w:t>
            </w:r>
          </w:p>
        </w:tc>
        <w:tc>
          <w:tcPr>
            <w:tcW w:type="dxa" w:w="6226"/>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Target</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Onboarding turnaround</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TBA</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Build success rate</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TBA</w:t>
            </w:r>
          </w:p>
        </w:tc>
      </w:tr>
      <w:tr>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Incident response and resolution</w:t>
            </w:r>
          </w:p>
        </w:tc>
        <w:tc>
          <w:tcPr>
            <w:tcW w:type="dxa" w:w="62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TBA</w:t>
            </w:r>
          </w:p>
        </w:tc>
      </w:tr>
    </w:tbl>
    <w:p>
      <w:pPr>
        <w:pStyle w:val="Heading3"/>
      </w:pPr>
      <w:r>
        <w:t xml:space="preserve">Key Performance Indicators (KPIs)</w:t>
      </w:r>
    </w:p>
    <w:p>
      <w:r>
        <w:t xml:space="preserve">To be confirmed (TBC).</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4426"/>
        <w:gridCol w:w="2000"/>
      </w:tblGrid>
      <w:tr>
        <w:trPr>
          <w:tblHeader/>
        </w:trPr>
        <w:tc>
          <w:tcPr>
            <w:tcW w:type="dxa" w:w="2600"/>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KPI</w:t>
            </w:r>
          </w:p>
        </w:tc>
        <w:tc>
          <w:tcPr>
            <w:tcW w:type="dxa" w:w="4426"/>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Description</w:t>
            </w:r>
          </w:p>
        </w:tc>
        <w:tc>
          <w:tcPr>
            <w:tcW w:type="dxa" w:w="2000"/>
            <w:tcBorders>
              <w:top w:val="single" w:color="BFBFBF" w:sz="1"/>
              <w:left w:val="single" w:color="BFBFBF" w:sz="1"/>
              <w:bottom w:val="single" w:color="BFBFBF" w:sz="1"/>
              <w:right w:val="single" w:color="BFBFBF" w:sz="1"/>
            </w:tcBorders>
            <w:shd w:fill="1F4E79" w:val="clear"/>
            <w:tcMar>
              <w:top w:type="dxa" w:w="80"/>
              <w:left w:type="dxa" w:w="120"/>
              <w:bottom w:type="dxa" w:w="80"/>
              <w:right w:type="dxa" w:w="120"/>
            </w:tcMar>
            <w:vAlign w:val="center"/>
          </w:tcPr>
          <w:p>
            <w:r>
              <w:rPr>
                <w:b/>
                <w:bCs/>
                <w:color w:val="FFFFFF"/>
              </w:rPr>
              <w:t xml:space="preserve">Target</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TBC</w:t>
            </w:r>
          </w:p>
        </w:tc>
        <w:tc>
          <w:tcPr>
            <w:tcW w:type="dxa" w:w="44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TBC</w:t>
            </w:r>
          </w:p>
        </w:tc>
        <w:tc>
          <w:tcPr>
            <w:tcW w:type="dxa" w:w="20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TBA</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TBC</w:t>
            </w:r>
          </w:p>
        </w:tc>
        <w:tc>
          <w:tcPr>
            <w:tcW w:type="dxa" w:w="4426"/>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TBC</w:t>
            </w:r>
          </w:p>
        </w:tc>
        <w:tc>
          <w:tcPr>
            <w:tcW w:type="dxa" w:w="2000"/>
            <w:tcBorders>
              <w:top w:val="single" w:color="BFBFBF" w:sz="1"/>
              <w:left w:val="single" w:color="BFBFBF" w:sz="1"/>
              <w:bottom w:val="single" w:color="BFBFBF" w:sz="1"/>
              <w:right w:val="single" w:color="BFBFBF" w:sz="1"/>
            </w:tcBorders>
            <w:tcMar>
              <w:top w:type="dxa" w:w="80"/>
              <w:left w:type="dxa" w:w="120"/>
              <w:bottom w:type="dxa" w:w="80"/>
              <w:right w:type="dxa" w:w="120"/>
            </w:tcMar>
          </w:tcPr>
          <w:p>
            <w:r>
              <w:t xml:space="preserve">TBA</w:t>
            </w:r>
          </w:p>
        </w:tc>
      </w:tr>
    </w:tbl>
    <w:p>
      <w:pPr>
        <w:pStyle w:val="Heading3"/>
      </w:pPr>
      <w:r>
        <w:t xml:space="preserve">Monitoring &amp; Reporting</w:t>
      </w:r>
    </w:p>
    <w:p>
      <w:r>
        <w:t xml:space="preserve">To be confirmed (TBC).</w:t>
      </w:r>
    </w:p>
    <w:p>
      <w:pPr>
        <w:pStyle w:val="Heading2"/>
      </w:pPr>
      <w:r>
        <w:t xml:space="preserve">Operating Model</w:t>
      </w:r>
    </w:p>
    <w:p>
      <w:pPr>
        <w:pStyle w:val="Heading3"/>
      </w:pPr>
      <w:r>
        <w:t xml:space="preserve">[Service Provider] Responsibilities</w:t>
      </w:r>
    </w:p>
    <w:p>
      <w:r>
        <w:t xml:space="preserve">The Service Provider will be responsible for:</w:t>
      </w:r>
    </w:p>
    <w:p>
      <w:pPr>
        <w:pStyle w:val="ListParagraph"/>
        <w:numPr>
          <w:ilvl w:val="0"/>
          <w:numId w:val="2"/>
        </w:numPr>
      </w:pPr>
      <w:r>
        <w:t xml:space="preserve">Registering devices for automated enrolment</w:t>
      </w:r>
    </w:p>
    <w:p>
      <w:pPr>
        <w:pStyle w:val="ListParagraph"/>
        <w:numPr>
          <w:ilvl w:val="0"/>
          <w:numId w:val="2"/>
        </w:numPr>
      </w:pPr>
      <w:r>
        <w:t xml:space="preserve">Configuring and maintaining the automated deployment and configuration of shared devices</w:t>
      </w:r>
    </w:p>
    <w:p>
      <w:pPr>
        <w:pStyle w:val="ListParagraph"/>
        <w:numPr>
          <w:ilvl w:val="0"/>
          <w:numId w:val="2"/>
        </w:numPr>
      </w:pPr>
      <w:r>
        <w:t xml:space="preserve">Maintaining the Office shared device licence activation</w:t>
      </w:r>
    </w:p>
    <w:p>
      <w:pPr>
        <w:pStyle w:val="ListParagraph"/>
        <w:numPr>
          <w:ilvl w:val="0"/>
          <w:numId w:val="2"/>
        </w:numPr>
      </w:pPr>
      <w:r>
        <w:t xml:space="preserve">Maintaining the automated removal of assigned users after the build completes</w:t>
      </w:r>
    </w:p>
    <w:p>
      <w:pPr>
        <w:pStyle w:val="ListParagraph"/>
        <w:numPr>
          <w:ilvl w:val="0"/>
          <w:numId w:val="2"/>
        </w:numPr>
      </w:pPr>
      <w:r>
        <w:t xml:space="preserve">Maintaining the audit logging of automated actions</w:t>
      </w:r>
    </w:p>
    <w:p>
      <w:pPr>
        <w:pStyle w:val="ListParagraph"/>
        <w:numPr>
          <w:ilvl w:val="0"/>
          <w:numId w:val="2"/>
        </w:numPr>
      </w:pPr>
      <w:r>
        <w:t xml:space="preserve">Further responsibilities to be confirmed (TBC)</w:t>
      </w:r>
    </w:p>
    <w:p>
      <w:pPr>
        <w:pStyle w:val="Heading3"/>
      </w:pPr>
      <w:r>
        <w:t xml:space="preserve">Client Responsibilities</w:t>
      </w:r>
    </w:p>
    <w:p>
      <w:r>
        <w:t xml:space="preserve">The client will be responsible for the following tasks, items or actions:</w:t>
      </w:r>
    </w:p>
    <w:p>
      <w:pPr>
        <w:pStyle w:val="ListParagraph"/>
        <w:numPr>
          <w:ilvl w:val="0"/>
          <w:numId w:val="2"/>
        </w:numPr>
      </w:pPr>
      <w:r>
        <w:t xml:space="preserve">Ensuring devices are turned on and connected to the internet so that provisioning can begin</w:t>
      </w:r>
    </w:p>
    <w:p>
      <w:pPr>
        <w:pStyle w:val="ListParagraph"/>
        <w:numPr>
          <w:ilvl w:val="0"/>
          <w:numId w:val="2"/>
        </w:numPr>
      </w:pPr>
      <w:r>
        <w:t xml:space="preserve">Further responsibilities to be confirmed (TBC)</w:t>
      </w:r>
    </w:p>
    <w:p>
      <w:pPr>
        <w:pStyle w:val="Heading2"/>
      </w:pPr>
      <w:r>
        <w:t xml:space="preserve">Engagement | Escalation</w:t>
      </w:r>
    </w:p>
    <w:p>
      <w:r>
        <w:t xml:space="preserve">Reference to engagement and escalation document: TBC.</w:t>
      </w:r>
    </w:p>
    <w:p>
      <w:pPr>
        <w:pStyle w:val="Heading2"/>
      </w:pPr>
      <w:r>
        <w:t xml:space="preserve">Pricing</w:t>
      </w:r>
    </w:p>
    <w:p>
      <w:r>
        <w:t xml:space="preserve">TBA.</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2"/>
      </w:pBdr>
      <w:tabs>
        <w:tab w:val="right" w:pos="9026"/>
      </w:tabs>
    </w:pPr>
    <w:r>
      <w:rPr>
        <w:color w:val="808080"/>
        <w:sz w:val="16"/>
        <w:szCs w:val="16"/>
      </w:rPr>
      <w:t xml:space="preserve">Service Offer</w:t>
    </w:r>
    <w:r>
      <w:rPr>
        <w:color w:val="808080"/>
        <w:sz w:val="16"/>
        <w:szCs w:val="16"/>
      </w:rPr>
      <w:t xml:space="preserve">	Page </w:t>
    </w:r>
    <w:r>
      <w:rPr>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2"/>
      </w:pBdr>
      <w:jc w:val="right"/>
    </w:pPr>
    <w:r>
      <w:rPr>
        <w:color w:val="808080"/>
        <w:sz w:val="16"/>
        <w:szCs w:val="16"/>
      </w:rPr>
      <w:t xml:space="preserve">Shared Device Onboarding &amp; Deployment via Intune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abstractNum w:abstractNumId="4"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40" w:before="280"/>
      <w:outlineLvl w:val="1"/>
    </w:pPr>
    <w:rPr>
      <w:rFonts w:ascii="Arial" w:cs="Arial" w:eastAsia="Arial" w:hAnsi="Arial"/>
      <w:b/>
      <w:bCs/>
      <w:color w:val="1F4E79"/>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2E5496"/>
      <w:sz w:val="24"/>
      <w:szCs w:val="24"/>
    </w:rPr>
  </w:style>
  <w:style w:type="paragraph" w:styleId="Normal">
    <w:name w:val="Normal"/>
    <w:pPr>
      <w:spacing w:after="120" w:line="276"/>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2026-06-30T05:43:31.201Z</dcterms:created>
  <dcterms:modified xsi:type="dcterms:W3CDTF">2026-06-30T05:43:31.214Z</dcterms:modified>
</cp:coreProperties>
</file>

<file path=docProps/custom.xml><?xml version="1.0" encoding="utf-8"?>
<Properties xmlns="http://schemas.openxmlformats.org/officeDocument/2006/custom-properties" xmlns:vt="http://schemas.openxmlformats.org/officeDocument/2006/docPropsVTypes"/>
</file>